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988" w:leftChars="0" w:hanging="988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6"/>
          <w:sz w:val="48"/>
          <w:szCs w:val="48"/>
          <w:lang w:eastAsia="zh-CN"/>
        </w:rPr>
      </w:pPr>
      <w:bookmarkStart w:id="0" w:name="_Toc19804"/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8"/>
          <w:szCs w:val="48"/>
          <w:lang w:val="en-US" w:eastAsia="zh-CN"/>
        </w:rPr>
        <w:t>麻江县疾控中心部门整体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8"/>
          <w:szCs w:val="48"/>
          <w:lang w:eastAsia="zh-CN"/>
        </w:rPr>
        <w:t>支出绩效评价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988" w:leftChars="0" w:hanging="988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6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8"/>
          <w:szCs w:val="48"/>
          <w:lang w:eastAsia="zh-CN"/>
        </w:rPr>
        <w:t>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907" w:leftChars="0" w:hanging="907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  <w:lang w:eastAsia="zh-Hans"/>
        </w:rPr>
        <w:t>（2021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  <w:lang w:val="en-US" w:eastAsia="zh-Hans"/>
        </w:rPr>
        <w:t>年度）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 Regular" w:hAnsi="Times New Roman Regular" w:cs="Times New Roman Regular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hint="default" w:ascii="Times New Roman Regular" w:hAnsi="Times New Roman Regular" w:cs="Times New Roman Regular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99" w:firstLineChars="271"/>
        <w:jc w:val="left"/>
        <w:textAlignment w:val="auto"/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u w:val="single"/>
          <w:lang w:val="en-US" w:eastAsia="zh-CN"/>
        </w:rPr>
      </w:pP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部门（单位）名称：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 Regular" w:hAnsi="Times New Roman Regular" w:eastAsia="方正仿宋_GB2312" w:cs="Times New Roman Regular"/>
          <w:spacing w:val="6"/>
          <w:sz w:val="32"/>
          <w:szCs w:val="32"/>
          <w:u w:val="single"/>
          <w:lang w:val="en-US" w:eastAsia="zh-CN"/>
        </w:rPr>
        <w:t xml:space="preserve">麻江县疾控中心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867" w:firstLineChars="271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99" w:firstLineChars="271"/>
        <w:jc w:val="left"/>
        <w:textAlignment w:val="auto"/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u w:val="single"/>
          <w:lang w:val="en-US" w:eastAsia="zh-CN"/>
        </w:rPr>
      </w:pP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部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门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单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位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码：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 Regular" w:hAnsi="Times New Roman Regular" w:eastAsia="方正仿宋_GB2312" w:cs="Times New Roman Regular"/>
          <w:spacing w:val="6"/>
          <w:sz w:val="32"/>
          <w:szCs w:val="32"/>
          <w:u w:val="single"/>
          <w:lang w:val="en-US" w:eastAsia="zh-CN"/>
        </w:rPr>
        <w:t>501002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 Regular" w:hAnsi="Times New Roman Regular" w:eastAsia="方正仿宋_GB2312" w:cs="Times New Roman Regular"/>
          <w:spacing w:val="6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867" w:firstLineChars="271"/>
        <w:jc w:val="left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99" w:firstLineChars="271"/>
        <w:jc w:val="left"/>
        <w:textAlignment w:val="auto"/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u w:val="single"/>
          <w:lang w:val="en-US" w:eastAsia="zh-CN"/>
        </w:rPr>
      </w:pP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评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价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方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式：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 Regular" w:hAnsi="Times New Roman Regular" w:eastAsia="方正仿宋_GB2312" w:cs="Times New Roman Regular"/>
          <w:spacing w:val="6"/>
          <w:sz w:val="32"/>
          <w:szCs w:val="32"/>
          <w:u w:val="single"/>
          <w:lang w:val="en-US" w:eastAsia="zh-CN"/>
        </w:rPr>
        <w:t>自评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99" w:firstLineChars="271"/>
        <w:jc w:val="left"/>
        <w:textAlignment w:val="auto"/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99" w:firstLineChars="271"/>
        <w:jc w:val="left"/>
        <w:textAlignment w:val="auto"/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评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价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机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构：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 Regular" w:hAnsi="Times New Roman Regular" w:eastAsia="方正仿宋_GB2312" w:cs="Times New Roman Regular"/>
          <w:spacing w:val="6"/>
          <w:sz w:val="32"/>
          <w:szCs w:val="32"/>
          <w:u w:val="single"/>
          <w:lang w:val="en-US" w:eastAsia="zh-CN"/>
        </w:rPr>
        <w:t>麻江县疾控中心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u w:val="single"/>
          <w:lang w:val="en-US" w:eastAsia="zh-CN"/>
        </w:rPr>
        <w:t xml:space="preserve">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899" w:firstLineChars="271"/>
        <w:textAlignment w:val="auto"/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899" w:firstLineChars="271"/>
        <w:textAlignment w:val="auto"/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899" w:firstLineChars="271"/>
        <w:jc w:val="both"/>
        <w:textAlignment w:val="auto"/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 xml:space="preserve">报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 xml:space="preserve">告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 xml:space="preserve">日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期：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ab/>
      </w:r>
      <w:r>
        <w:rPr>
          <w:rFonts w:hint="eastAsia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>2022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年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月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Times New Roman Regular" w:hAnsi="Times New Roman Regular" w:eastAsia="方正仿宋_GB2312" w:cs="Times New Roman Regular"/>
          <w:spacing w:val="6"/>
          <w:sz w:val="32"/>
          <w:szCs w:val="32"/>
          <w:lang w:val="en-US" w:eastAsia="zh-CN"/>
        </w:rPr>
        <w:t>29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>日</w:t>
      </w:r>
      <w:r>
        <w:rPr>
          <w:rFonts w:hint="default" w:ascii="Times New Roman Regular" w:hAnsi="Times New Roman Regular" w:eastAsia="方正仿宋_GB2312" w:cs="Times New Roman Regular"/>
          <w:spacing w:val="6"/>
          <w:sz w:val="32"/>
          <w:szCs w:val="32"/>
          <w:lang w:eastAsia="zh-CN"/>
        </w:rPr>
        <w:tab/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 Regular" w:hAnsi="Times New Roman Regular" w:cs="Times New Roman Regul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outlineLvl w:val="0"/>
        <w:rPr>
          <w:rFonts w:hint="default" w:ascii="Times New Roman Regular" w:hAnsi="Times New Roman Regular" w:eastAsia="宋体" w:cs="Times New Roman Regular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 Regular" w:hAnsi="Times New Roman Regular" w:eastAsia="宋体" w:cs="Times New Roman Regular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outlineLvl w:val="0"/>
        <w:rPr>
          <w:rFonts w:hint="default" w:ascii="Times New Roman Regular" w:hAnsi="Times New Roman Regular" w:eastAsia="宋体" w:cs="Times New Roman Regular"/>
          <w:b/>
          <w:bCs/>
          <w:sz w:val="44"/>
          <w:szCs w:val="44"/>
          <w:lang w:val="en-US" w:eastAsia="zh-CN"/>
        </w:rPr>
        <w:sectPr>
          <w:pgSz w:w="11906" w:h="16838"/>
          <w:pgMar w:top="2098" w:right="1474" w:bottom="1984" w:left="1474" w:header="720" w:footer="720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904" w:leftChars="0" w:hanging="904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麻江县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Hans"/>
        </w:rPr>
        <w:t>部门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整体支出预算绩效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904" w:leftChars="0" w:hanging="904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自评报告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bookmarkStart w:id="1" w:name="YS060101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val="en-US" w:eastAsia="zh-CN"/>
        </w:rPr>
        <w:t>麻江县疾控中心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val="en-US" w:eastAsia="zh-Hans"/>
        </w:rPr>
        <w:t>部门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概况</w:t>
      </w:r>
      <w:bookmarkEnd w:id="1"/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3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  <w:t>（一）主要职能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拟定疾病预防控制方案，并组织实施，负责疾病预防控制相关项目监测、评价、科研、培训和咨询工作；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化学性、物理性、生物性、社会性、心理性、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环境性、职业性等所致疾病进行流病学调查检测和危险因素监测，负责疫点、疫区消毒指导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及卫生学评价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负责疾病和控制信息的收集、整理、统计分析、综合评价、反馈及疫情预测和报告等；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拟定免疫规划，并负责预防性生物制品的使用管理、技术指导及效果分析评价；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参与重大疫情和突发疫情的调查，提出控制措施；参与对危害公共卫生中毒事件调查；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指导和承担救灾防病的有关技术工作；指导和参与社会公共卫生服务工作；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承担预防性体检工作；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参与预防医学的应用性科学技术研究、引进、推广适应技术和先进的预防医疗手段；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3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  <w:t>（二）机构设置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麻江县疾控中心成立于2003年，属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全额拨款事业单位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共设有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个科室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分别设办公室、流行病科、慢性病科、卫生监测与检验科、结核病防治科、艾滋病防治科、麻风病防治科、综合服务科。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3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Hans"/>
        </w:rPr>
        <w:t>（三）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  <w:t>人员构成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我中心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编制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数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事业编制31个。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在职实有人数29人。事业编制在岗29人。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主要工作及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Hans"/>
        </w:rPr>
        <w:t>取得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成效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bookmarkStart w:id="2" w:name="YS060102"/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(一）疫情管理工作</w:t>
      </w:r>
    </w:p>
    <w:p>
      <w:pPr>
        <w:keepNext w:val="0"/>
        <w:keepLines w:val="0"/>
        <w:pageBreakBefore w:val="0"/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kern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发病率：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全县共报告乙、丙类传染病11种共计454例,发病率为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364.16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zh-CN"/>
        </w:rPr>
        <w:t>/10万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无甲类传染病报告，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无突发公共卫生事件报告。</w:t>
      </w:r>
    </w:p>
    <w:p>
      <w:pPr>
        <w:keepNext w:val="0"/>
        <w:keepLines w:val="0"/>
        <w:pageBreakBefore w:val="0"/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kern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全县共发现报告24起未达突发标准事件，共发病182例。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（二)免疫规划工作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b/>
          <w:bCs/>
          <w:kern w:val="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基础免疫疫苗：以乡镇为单位建卡建证率达到98％以上；分苗分剂次常规免疫接种率达到95％以上；麻风疫苗及时率达95%以上；乙肝疫苗首针及时率90%以上。截止2021年12月31日，全县无预防接种事故的发生。</w:t>
      </w:r>
    </w:p>
    <w:p>
      <w:pPr>
        <w:keepNext w:val="0"/>
        <w:keepLines w:val="0"/>
        <w:pageBreakBefore w:val="0"/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新冠疫苗：全县接种新冠疫苗共计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 249504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剂次。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（三）其他慢性病防治工作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9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艾滋病防治工作。完成艾滋病病毒感染者的配偶/固定性伴HIV抗体检测率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%，完成艾滋病病毒感染者和病人CD4检测率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94.9%，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完成现存活的艾滋病病毒感染者和病人抗病毒治疗比例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94.5%，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完成抗病毒治疗的感染者和病人当年接受病毒载量检测比例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%，完成接受抗病毒治疗的感染者和病人的病毒抑制率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9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麻风病防治工作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全年共收集麻风线索50例，排查50例，完成线索任务100%，未发现麻风病例。积极对近十年新复发病人家属检查，未发现新发病人，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对治愈存活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77人进行随访，其中有1人死亡，无复发病例。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9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碘缺乏病监测工作。碘监测工作有序进行，学生盐碘合格率95.61%，尿碘中位数202.0ug/L；孕妇盐碘合格率95.0%，尿碘中位数166.8ug/L。均达到国家标准。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9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慢性病监测工作。一是死因监测人口死亡信息登记报告836人，全县报告死亡率报告率为731.35/10万。二是心脑血管事件报卡525例，报告率459.28/10万；三是报告录入肿瘤报卡605例，报告率504.97/10万，管理肿瘤患者603，管理率99.67%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9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健康教育工作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9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全年更新宣传栏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期,共开展咨询活动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次，发放健康教育宣传资料约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36247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余份，咨询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余人次，通过开展咨询活动使广大居民的健康意识有所提高。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9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卫生监测检验工作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加强实验室能力建设，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为传染病控制和公共卫生安全提供技术支撑。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食品微生物及其致病因子监测样本采样共计26份，送检率100％；HIV监测：2021年1-11月完成HIV初筛1097人，阳性11人，阳性率1.0%；完成枯水期和丰水期19个监测点共38份生活饮用水水样监测；新冠核酸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共检测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39832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人次，结果均为阴性，采集检测冰冻食品及外环境样本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2884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份，结果均为阴性。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9" w:firstLineChars="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综合服务门诊工作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全年开展驾驶员体检6316人；健康证办理4447人，全部免费。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9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Hans"/>
        </w:rPr>
        <w:t>三、部门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资金收支情况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9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实现收入653.08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当年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财政拨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收入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为653.08万元。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9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支出总计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635.97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其中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基本支出394.63万元，包含个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人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部分373.91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商品及服务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支出共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20.72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万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项目支出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241.34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万元。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9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Hans"/>
        </w:rPr>
        <w:t>四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、绩效评价结论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9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年来，在县委、县人民政府的正确领导下，在主管局的带领下，县疾控中心按照省、州、县各项工作要求，根据上级业务指导部门及主管局制定的工作计划和目标，认真有效推进完成各项工作任务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疾病预防控制事业高质量发展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毫不放松做好常态化疫情防控工作，切实维护人民群众身体健康和生命安全。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9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从指标评分看，预算执行率为10%，赋分10分，得8分；产出指标赋分50分，质量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指标未完成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分，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原因是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公用经费到位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率未达100%；成本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指标未完成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分，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原因是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疾控基本建设项目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成本超年初预算，经费追加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产出指标共扣3分，实际得分47分；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效益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指标赋分30分，均已达到绩效目标，得分30分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满意度指标赋分10分，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</w:rPr>
        <w:t>根据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  <w:lang w:eastAsia="zh-CN"/>
        </w:rPr>
        <w:t>我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  <w:lang w:val="en-US" w:eastAsia="zh-Hans"/>
        </w:rPr>
        <w:t>单位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  <w:lang w:eastAsia="zh-CN"/>
        </w:rPr>
        <w:t>对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  <w:lang w:val="en-US" w:eastAsia="zh-CN"/>
        </w:rPr>
        <w:t>服务对象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</w:rPr>
        <w:t>抽查情况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满意度达到90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完成目标表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年度指标值，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得分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9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  <w:lang w:val="en-US" w:eastAsia="zh-Hans"/>
        </w:rPr>
        <w:t>综上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  <w:lang w:eastAsia="zh-CN"/>
        </w:rPr>
        <w:t>，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  <w:lang w:val="en-US" w:eastAsia="zh-Hans"/>
        </w:rPr>
        <w:t>我单位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</w:rPr>
        <w:t>按照实事求是、客观公平、真实有效的原则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  <w:lang w:val="en-US" w:eastAsia="zh-Hans"/>
        </w:rPr>
        <w:t>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Hans"/>
        </w:rPr>
        <w:t>年度部门整体支出绩效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  <w:lang w:eastAsia="zh-CN"/>
        </w:rPr>
        <w:t>实施情况进行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</w:rPr>
        <w:t>自评，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  <w:lang w:eastAsia="zh-CN"/>
        </w:rPr>
        <w:t>最终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</w:rPr>
        <w:t>自评得分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  <w:lang w:val="en-US" w:eastAsia="zh-CN"/>
        </w:rPr>
        <w:t>95分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</w:rPr>
        <w:t>，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  <w:lang w:val="en-US" w:eastAsia="zh-CN"/>
        </w:rPr>
        <w:t>自评等级为“优”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pacing w:val="-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90（含）-100分为优、80（含）-90分为良、60（含）-80分为中、60分以下为差。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9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年初预算的资金安排和使用上存在一定的不可预见性，需要加强综合考虑各方因素，合理设置绩效指标，保障疾控各项工作顺利完成。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绩效指标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明确、细化量化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年度工作安排尽管涵盖了职责范围和工作内容，体现了各科室工作的性质和任务，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绩效指标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val="en-US" w:eastAsia="zh-CN"/>
        </w:rPr>
        <w:t>够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</w:rPr>
        <w:t>明确、细化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，不便于绩效考核和评价。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9" w:firstLineChars="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下一步改进措施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按照《预算法》及其实施条例的相关规定，参考上年度的预算编制、收支执行情况及保障本年度重点工作，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制定合理的年度工作计划和年度经费支出预算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细化编制预算，提高预算编制的科学性、严谨性和可控性。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进一步控制经费支出，在确保各项任务完成的同时，力争把成本降低，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确保全年经费支出均衡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9" w:firstLineChars="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《麻江县疾控中心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整体支出绩效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目标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》1份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  <w:t xml:space="preserve">单位名称（盖章）： </w:t>
      </w:r>
      <w:r>
        <w:rPr>
          <w:rFonts w:hint="eastAsia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  <w:t>麻江县疾控中心</w:t>
      </w:r>
      <w:r>
        <w:rPr>
          <w:rFonts w:hint="default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  <w:t>法定代表人（签字）：</w:t>
      </w:r>
      <w:r>
        <w:rPr>
          <w:rFonts w:hint="eastAsia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  <w:t>徐凌</w:t>
      </w:r>
      <w:r>
        <w:rPr>
          <w:rFonts w:hint="default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  <w:t>主评人（签字）：</w:t>
      </w:r>
      <w:r>
        <w:rPr>
          <w:rFonts w:hint="eastAsia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  <w:t>龙海林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default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 Regular" w:hAnsi="Times New Roman Regular" w:eastAsia="方正仿宋_GB2312" w:cs="Times New Roman Regular"/>
          <w:sz w:val="32"/>
          <w:szCs w:val="32"/>
          <w:highlight w:val="none"/>
          <w:lang w:eastAsia="zh-CN"/>
        </w:rPr>
        <w:t xml:space="preserve">    </w:t>
      </w:r>
      <w:r>
        <w:rPr>
          <w:rFonts w:hint="default" w:ascii="Times New Roman Regular" w:hAnsi="Times New Roman Regular" w:eastAsia="方正仿宋_GB2312" w:cs="Times New Roman Regular"/>
          <w:sz w:val="32"/>
          <w:szCs w:val="32"/>
          <w:highlight w:val="none"/>
          <w:lang w:val="en-US" w:eastAsia="zh-CN"/>
        </w:rPr>
        <w:t>期：</w:t>
      </w:r>
      <w:r>
        <w:rPr>
          <w:rFonts w:hint="default" w:ascii="Times New Roman Regular" w:hAnsi="Times New Roman Regular" w:cs="Times New Roman Regular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 Regular" w:hAnsi="Times New Roman Regular" w:cs="Times New Roman Regular"/>
          <w:sz w:val="32"/>
          <w:szCs w:val="32"/>
          <w:highlight w:val="none"/>
          <w:lang w:val="en-US" w:eastAsia="zh-CN"/>
        </w:rPr>
        <w:t>2022年</w:t>
      </w:r>
      <w:bookmarkStart w:id="3" w:name="_GoBack"/>
      <w:bookmarkEnd w:id="3"/>
      <w:r>
        <w:rPr>
          <w:rFonts w:hint="eastAsia" w:ascii="Times New Roman Regular" w:hAnsi="Times New Roman Regular" w:cs="Times New Roman Regular"/>
          <w:sz w:val="32"/>
          <w:szCs w:val="32"/>
          <w:highlight w:val="none"/>
          <w:lang w:val="en-US" w:eastAsia="zh-CN"/>
        </w:rPr>
        <w:t>5月29日</w:t>
      </w:r>
      <w:r>
        <w:rPr>
          <w:rFonts w:hint="default" w:ascii="Times New Roman Regular" w:hAnsi="Times New Roman Regular" w:cs="Times New Roman Regular"/>
          <w:sz w:val="32"/>
          <w:szCs w:val="32"/>
          <w:highlight w:val="none"/>
          <w:lang w:val="en-US" w:eastAsia="zh-CN"/>
        </w:rPr>
        <w:t xml:space="preserve">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81F1DE-922C-4774-85B8-E2C2351853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DC3B635-9E9E-4D09-A87D-58E11C1C3B6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3" w:fontKey="{CCFFA078-B8D8-43AB-9489-E0AC036E58D2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32E4759D-EB13-4BDA-9111-F544B1562E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D9F06AD-8CE9-437A-B949-969565520587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6CB0B17D-659F-4BBD-A9B8-01797A54500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7721CBB-FFBA-41DD-923D-4744C024145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3CDEA"/>
    <w:multiLevelType w:val="singleLevel"/>
    <w:tmpl w:val="DC73CD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103DB0"/>
    <w:multiLevelType w:val="singleLevel"/>
    <w:tmpl w:val="DF103DB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8D360A"/>
    <w:multiLevelType w:val="singleLevel"/>
    <w:tmpl w:val="168D360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1A2BAD9"/>
    <w:multiLevelType w:val="singleLevel"/>
    <w:tmpl w:val="61A2BAD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N2RiMTQ0MzY3ZThkNjJlOTZhZjdkOWQxYjlkNzIifQ=="/>
  </w:docVars>
  <w:rsids>
    <w:rsidRoot w:val="4CB83BEC"/>
    <w:rsid w:val="001330C7"/>
    <w:rsid w:val="00727DBD"/>
    <w:rsid w:val="00B81819"/>
    <w:rsid w:val="00F5663D"/>
    <w:rsid w:val="0185045B"/>
    <w:rsid w:val="02272719"/>
    <w:rsid w:val="02C749C9"/>
    <w:rsid w:val="03200AE2"/>
    <w:rsid w:val="03A37201"/>
    <w:rsid w:val="03DF69E6"/>
    <w:rsid w:val="041517E1"/>
    <w:rsid w:val="041A4255"/>
    <w:rsid w:val="04490E7C"/>
    <w:rsid w:val="04982815"/>
    <w:rsid w:val="05166762"/>
    <w:rsid w:val="051D2170"/>
    <w:rsid w:val="05965C32"/>
    <w:rsid w:val="05CA53BA"/>
    <w:rsid w:val="05DC1771"/>
    <w:rsid w:val="05EE1BC9"/>
    <w:rsid w:val="05F93760"/>
    <w:rsid w:val="06C90B48"/>
    <w:rsid w:val="06D66E0D"/>
    <w:rsid w:val="06EF2849"/>
    <w:rsid w:val="071D107A"/>
    <w:rsid w:val="07A15F5E"/>
    <w:rsid w:val="081F2395"/>
    <w:rsid w:val="08252F44"/>
    <w:rsid w:val="08AB424E"/>
    <w:rsid w:val="08C1730C"/>
    <w:rsid w:val="08D11C6F"/>
    <w:rsid w:val="0A395079"/>
    <w:rsid w:val="0B144DF4"/>
    <w:rsid w:val="0B6012A9"/>
    <w:rsid w:val="0B9D7BF9"/>
    <w:rsid w:val="0C006ABE"/>
    <w:rsid w:val="0C347975"/>
    <w:rsid w:val="0C8E1377"/>
    <w:rsid w:val="0CA4063E"/>
    <w:rsid w:val="0CE73FAE"/>
    <w:rsid w:val="0D5A736A"/>
    <w:rsid w:val="0D7F4FBF"/>
    <w:rsid w:val="0D9D56C5"/>
    <w:rsid w:val="0DB45607"/>
    <w:rsid w:val="0DFF513F"/>
    <w:rsid w:val="0E843B17"/>
    <w:rsid w:val="0E8D1A38"/>
    <w:rsid w:val="0EEB653C"/>
    <w:rsid w:val="0EFA3E35"/>
    <w:rsid w:val="0F785F6F"/>
    <w:rsid w:val="0F9F792F"/>
    <w:rsid w:val="0FFA581C"/>
    <w:rsid w:val="10B51438"/>
    <w:rsid w:val="10C112B7"/>
    <w:rsid w:val="110F5504"/>
    <w:rsid w:val="11545EE1"/>
    <w:rsid w:val="11712BBA"/>
    <w:rsid w:val="11BF5418"/>
    <w:rsid w:val="11C4585F"/>
    <w:rsid w:val="11C874BB"/>
    <w:rsid w:val="11DB4A49"/>
    <w:rsid w:val="12344DA1"/>
    <w:rsid w:val="12590438"/>
    <w:rsid w:val="12774B24"/>
    <w:rsid w:val="127E53EE"/>
    <w:rsid w:val="12F3161A"/>
    <w:rsid w:val="130B3D15"/>
    <w:rsid w:val="13232771"/>
    <w:rsid w:val="13816174"/>
    <w:rsid w:val="13EF1D39"/>
    <w:rsid w:val="142D087F"/>
    <w:rsid w:val="14DF2738"/>
    <w:rsid w:val="15624D2D"/>
    <w:rsid w:val="15D45542"/>
    <w:rsid w:val="178963D0"/>
    <w:rsid w:val="179336D6"/>
    <w:rsid w:val="17B10062"/>
    <w:rsid w:val="183C7AD8"/>
    <w:rsid w:val="185834C0"/>
    <w:rsid w:val="186E457D"/>
    <w:rsid w:val="189546C3"/>
    <w:rsid w:val="18A8402B"/>
    <w:rsid w:val="18AF5BEB"/>
    <w:rsid w:val="19CE4BB6"/>
    <w:rsid w:val="19D7753D"/>
    <w:rsid w:val="1A47114C"/>
    <w:rsid w:val="1A643199"/>
    <w:rsid w:val="1ABD3486"/>
    <w:rsid w:val="1C8C1632"/>
    <w:rsid w:val="1CA04C33"/>
    <w:rsid w:val="1DC46BAE"/>
    <w:rsid w:val="1DDE57D6"/>
    <w:rsid w:val="1DF54961"/>
    <w:rsid w:val="1E1C46AA"/>
    <w:rsid w:val="1E1F7DD0"/>
    <w:rsid w:val="1EE71B05"/>
    <w:rsid w:val="1F080CA8"/>
    <w:rsid w:val="1F87035B"/>
    <w:rsid w:val="1F9609EC"/>
    <w:rsid w:val="1FD54735"/>
    <w:rsid w:val="207F762C"/>
    <w:rsid w:val="20E212EE"/>
    <w:rsid w:val="21D063EB"/>
    <w:rsid w:val="22384EE6"/>
    <w:rsid w:val="228B67E5"/>
    <w:rsid w:val="2297530A"/>
    <w:rsid w:val="229C7CB0"/>
    <w:rsid w:val="22B119AD"/>
    <w:rsid w:val="22E127D6"/>
    <w:rsid w:val="22E54CBE"/>
    <w:rsid w:val="233D1CF2"/>
    <w:rsid w:val="242B4926"/>
    <w:rsid w:val="24B861C5"/>
    <w:rsid w:val="24FB311D"/>
    <w:rsid w:val="25CB7721"/>
    <w:rsid w:val="26073CDB"/>
    <w:rsid w:val="26236213"/>
    <w:rsid w:val="265243F5"/>
    <w:rsid w:val="265D004C"/>
    <w:rsid w:val="26705780"/>
    <w:rsid w:val="272775B2"/>
    <w:rsid w:val="27391C5D"/>
    <w:rsid w:val="27433325"/>
    <w:rsid w:val="27DF4204"/>
    <w:rsid w:val="27E15BE9"/>
    <w:rsid w:val="27EE7168"/>
    <w:rsid w:val="283272CC"/>
    <w:rsid w:val="289261EB"/>
    <w:rsid w:val="28B9093F"/>
    <w:rsid w:val="290979D6"/>
    <w:rsid w:val="290C262D"/>
    <w:rsid w:val="29660469"/>
    <w:rsid w:val="29A17D92"/>
    <w:rsid w:val="29B925C6"/>
    <w:rsid w:val="29C87749"/>
    <w:rsid w:val="29CE3069"/>
    <w:rsid w:val="29E75818"/>
    <w:rsid w:val="2A020C77"/>
    <w:rsid w:val="2A0E36C0"/>
    <w:rsid w:val="2A1A4EC6"/>
    <w:rsid w:val="2A5A7D2C"/>
    <w:rsid w:val="2A6E7A2B"/>
    <w:rsid w:val="2AE61440"/>
    <w:rsid w:val="2B046D6A"/>
    <w:rsid w:val="2BE9685C"/>
    <w:rsid w:val="2BEF6090"/>
    <w:rsid w:val="2C8A618A"/>
    <w:rsid w:val="2CE81FD0"/>
    <w:rsid w:val="2CF3149C"/>
    <w:rsid w:val="2D084A0B"/>
    <w:rsid w:val="2D8D00D6"/>
    <w:rsid w:val="2DCA406E"/>
    <w:rsid w:val="2DDC01E3"/>
    <w:rsid w:val="2E313EEC"/>
    <w:rsid w:val="2E414D11"/>
    <w:rsid w:val="2E58147C"/>
    <w:rsid w:val="2E8215A3"/>
    <w:rsid w:val="2EBC34AD"/>
    <w:rsid w:val="2F321440"/>
    <w:rsid w:val="2F782266"/>
    <w:rsid w:val="2FA1565C"/>
    <w:rsid w:val="2FAD18A3"/>
    <w:rsid w:val="2FFE20BC"/>
    <w:rsid w:val="307E4104"/>
    <w:rsid w:val="309D181A"/>
    <w:rsid w:val="30DD6B15"/>
    <w:rsid w:val="31504746"/>
    <w:rsid w:val="31683A37"/>
    <w:rsid w:val="3186077A"/>
    <w:rsid w:val="31A747BC"/>
    <w:rsid w:val="31DA4DE5"/>
    <w:rsid w:val="323F5057"/>
    <w:rsid w:val="324444F7"/>
    <w:rsid w:val="326756F5"/>
    <w:rsid w:val="32A87E7A"/>
    <w:rsid w:val="33811E9F"/>
    <w:rsid w:val="343E02CA"/>
    <w:rsid w:val="345E51D1"/>
    <w:rsid w:val="345F708F"/>
    <w:rsid w:val="34C06020"/>
    <w:rsid w:val="350E7D95"/>
    <w:rsid w:val="35114BB6"/>
    <w:rsid w:val="358A6AAF"/>
    <w:rsid w:val="35AA7B71"/>
    <w:rsid w:val="35CB1D4E"/>
    <w:rsid w:val="36076496"/>
    <w:rsid w:val="36547FE6"/>
    <w:rsid w:val="3685067A"/>
    <w:rsid w:val="36CF5B80"/>
    <w:rsid w:val="36F27BDB"/>
    <w:rsid w:val="37402A6B"/>
    <w:rsid w:val="375A7C51"/>
    <w:rsid w:val="376079B3"/>
    <w:rsid w:val="37F52160"/>
    <w:rsid w:val="38277AC3"/>
    <w:rsid w:val="386D6811"/>
    <w:rsid w:val="38727970"/>
    <w:rsid w:val="38A22CA8"/>
    <w:rsid w:val="38A6765A"/>
    <w:rsid w:val="39850FCC"/>
    <w:rsid w:val="3A1D2749"/>
    <w:rsid w:val="3A2C6DBB"/>
    <w:rsid w:val="3A4A750D"/>
    <w:rsid w:val="3A891DAF"/>
    <w:rsid w:val="3A900508"/>
    <w:rsid w:val="3AC777B4"/>
    <w:rsid w:val="3B3678E8"/>
    <w:rsid w:val="3B8520B5"/>
    <w:rsid w:val="3BBE5B5B"/>
    <w:rsid w:val="3C272F11"/>
    <w:rsid w:val="3C797695"/>
    <w:rsid w:val="3C831BB4"/>
    <w:rsid w:val="3CCC2060"/>
    <w:rsid w:val="3CFF3207"/>
    <w:rsid w:val="3D3D5657"/>
    <w:rsid w:val="3D900CE8"/>
    <w:rsid w:val="3DCC317E"/>
    <w:rsid w:val="3E262188"/>
    <w:rsid w:val="3EA43B2F"/>
    <w:rsid w:val="3F034973"/>
    <w:rsid w:val="3F30417E"/>
    <w:rsid w:val="3F530D9D"/>
    <w:rsid w:val="3F6472C1"/>
    <w:rsid w:val="3F8240F3"/>
    <w:rsid w:val="3FA83FCF"/>
    <w:rsid w:val="3FE74459"/>
    <w:rsid w:val="406422C7"/>
    <w:rsid w:val="40962CE9"/>
    <w:rsid w:val="40996F5E"/>
    <w:rsid w:val="40CF6BBE"/>
    <w:rsid w:val="410D7014"/>
    <w:rsid w:val="417F1B31"/>
    <w:rsid w:val="42DE7630"/>
    <w:rsid w:val="43320232"/>
    <w:rsid w:val="437970E6"/>
    <w:rsid w:val="437B5199"/>
    <w:rsid w:val="43A444A7"/>
    <w:rsid w:val="43E57CD0"/>
    <w:rsid w:val="4404137D"/>
    <w:rsid w:val="440F6911"/>
    <w:rsid w:val="442B0745"/>
    <w:rsid w:val="445E2040"/>
    <w:rsid w:val="446F49F1"/>
    <w:rsid w:val="44FD164B"/>
    <w:rsid w:val="453B7FA8"/>
    <w:rsid w:val="45625B5F"/>
    <w:rsid w:val="45933195"/>
    <w:rsid w:val="45C515B7"/>
    <w:rsid w:val="461A1BFF"/>
    <w:rsid w:val="467924E8"/>
    <w:rsid w:val="46CC0B5A"/>
    <w:rsid w:val="46F21729"/>
    <w:rsid w:val="4709235D"/>
    <w:rsid w:val="474F6E31"/>
    <w:rsid w:val="4771637B"/>
    <w:rsid w:val="47753644"/>
    <w:rsid w:val="479F06C2"/>
    <w:rsid w:val="47B42ED2"/>
    <w:rsid w:val="47C80D0C"/>
    <w:rsid w:val="47DE6BFE"/>
    <w:rsid w:val="47FF6CEF"/>
    <w:rsid w:val="496E1178"/>
    <w:rsid w:val="49BA2798"/>
    <w:rsid w:val="49BC03FC"/>
    <w:rsid w:val="4A131E4F"/>
    <w:rsid w:val="4ABC42D2"/>
    <w:rsid w:val="4B4C5921"/>
    <w:rsid w:val="4B50464D"/>
    <w:rsid w:val="4B8313D7"/>
    <w:rsid w:val="4BAF4D3E"/>
    <w:rsid w:val="4BB545C1"/>
    <w:rsid w:val="4C8D5EDA"/>
    <w:rsid w:val="4C986E58"/>
    <w:rsid w:val="4CB83BEC"/>
    <w:rsid w:val="4CF409EF"/>
    <w:rsid w:val="4D0878F7"/>
    <w:rsid w:val="4D712B20"/>
    <w:rsid w:val="4D841BD8"/>
    <w:rsid w:val="4DC939B7"/>
    <w:rsid w:val="4DD91899"/>
    <w:rsid w:val="4DE841D0"/>
    <w:rsid w:val="4E4A62A8"/>
    <w:rsid w:val="4E507F07"/>
    <w:rsid w:val="4EA90B1F"/>
    <w:rsid w:val="4EE8045D"/>
    <w:rsid w:val="4F0D0AF3"/>
    <w:rsid w:val="4F6D745B"/>
    <w:rsid w:val="4FAD4E03"/>
    <w:rsid w:val="4FC64433"/>
    <w:rsid w:val="4FD60008"/>
    <w:rsid w:val="4FED78BB"/>
    <w:rsid w:val="505D2A6A"/>
    <w:rsid w:val="5077091C"/>
    <w:rsid w:val="50F866BD"/>
    <w:rsid w:val="5110227C"/>
    <w:rsid w:val="5125221A"/>
    <w:rsid w:val="51DC77CD"/>
    <w:rsid w:val="52455082"/>
    <w:rsid w:val="52667D98"/>
    <w:rsid w:val="52E13425"/>
    <w:rsid w:val="533C0356"/>
    <w:rsid w:val="537822EE"/>
    <w:rsid w:val="538662DE"/>
    <w:rsid w:val="539D4A64"/>
    <w:rsid w:val="53C838CD"/>
    <w:rsid w:val="54082E16"/>
    <w:rsid w:val="54364DDA"/>
    <w:rsid w:val="54622302"/>
    <w:rsid w:val="54963687"/>
    <w:rsid w:val="54B773B1"/>
    <w:rsid w:val="54D433F7"/>
    <w:rsid w:val="54E05648"/>
    <w:rsid w:val="552157E1"/>
    <w:rsid w:val="55635722"/>
    <w:rsid w:val="556C1E85"/>
    <w:rsid w:val="55724CD8"/>
    <w:rsid w:val="55B60F94"/>
    <w:rsid w:val="55CC75AB"/>
    <w:rsid w:val="56276BF8"/>
    <w:rsid w:val="562F54C3"/>
    <w:rsid w:val="566655D9"/>
    <w:rsid w:val="56901AF2"/>
    <w:rsid w:val="56B64BFE"/>
    <w:rsid w:val="574440FA"/>
    <w:rsid w:val="580C550E"/>
    <w:rsid w:val="589F6B98"/>
    <w:rsid w:val="58D36004"/>
    <w:rsid w:val="590A65ED"/>
    <w:rsid w:val="59344596"/>
    <w:rsid w:val="599321DB"/>
    <w:rsid w:val="59D178B5"/>
    <w:rsid w:val="59E74148"/>
    <w:rsid w:val="59EA2E43"/>
    <w:rsid w:val="5B0932B9"/>
    <w:rsid w:val="5B4E6BB6"/>
    <w:rsid w:val="5B8118F5"/>
    <w:rsid w:val="5B8A1C85"/>
    <w:rsid w:val="5BA20E7C"/>
    <w:rsid w:val="5BD21A21"/>
    <w:rsid w:val="5BE51BD6"/>
    <w:rsid w:val="5BEF1F08"/>
    <w:rsid w:val="5C1A2BDF"/>
    <w:rsid w:val="5C7D1344"/>
    <w:rsid w:val="5D6F4901"/>
    <w:rsid w:val="5D906274"/>
    <w:rsid w:val="5D9D088E"/>
    <w:rsid w:val="5E4152A3"/>
    <w:rsid w:val="5ECA7E72"/>
    <w:rsid w:val="5F897A86"/>
    <w:rsid w:val="5FF16373"/>
    <w:rsid w:val="60707C72"/>
    <w:rsid w:val="60C36F42"/>
    <w:rsid w:val="610A5E06"/>
    <w:rsid w:val="611F504D"/>
    <w:rsid w:val="61F86331"/>
    <w:rsid w:val="62646069"/>
    <w:rsid w:val="627167DB"/>
    <w:rsid w:val="62903397"/>
    <w:rsid w:val="632D7FF4"/>
    <w:rsid w:val="63B61DBC"/>
    <w:rsid w:val="63D25640"/>
    <w:rsid w:val="646018D2"/>
    <w:rsid w:val="64692146"/>
    <w:rsid w:val="64725332"/>
    <w:rsid w:val="6545558A"/>
    <w:rsid w:val="65640C48"/>
    <w:rsid w:val="65C12ABF"/>
    <w:rsid w:val="66553CB5"/>
    <w:rsid w:val="66915774"/>
    <w:rsid w:val="66AC4EE6"/>
    <w:rsid w:val="67087D3B"/>
    <w:rsid w:val="672076DE"/>
    <w:rsid w:val="675834AF"/>
    <w:rsid w:val="67583726"/>
    <w:rsid w:val="67B408D0"/>
    <w:rsid w:val="67E94F87"/>
    <w:rsid w:val="68106CB4"/>
    <w:rsid w:val="68A473AB"/>
    <w:rsid w:val="697D2EF3"/>
    <w:rsid w:val="69B4231E"/>
    <w:rsid w:val="69B7F776"/>
    <w:rsid w:val="69E649E2"/>
    <w:rsid w:val="6A2257FC"/>
    <w:rsid w:val="6AAA4D44"/>
    <w:rsid w:val="6B1256B6"/>
    <w:rsid w:val="6B7608EB"/>
    <w:rsid w:val="6BC96AC8"/>
    <w:rsid w:val="6BD2722B"/>
    <w:rsid w:val="6C3B365B"/>
    <w:rsid w:val="6C3B4648"/>
    <w:rsid w:val="6C8C377E"/>
    <w:rsid w:val="6C8C38A8"/>
    <w:rsid w:val="6C9C4D51"/>
    <w:rsid w:val="6CBD3800"/>
    <w:rsid w:val="6E3009C5"/>
    <w:rsid w:val="6EF8107A"/>
    <w:rsid w:val="6F3962E0"/>
    <w:rsid w:val="6F3B571B"/>
    <w:rsid w:val="6FBA2C06"/>
    <w:rsid w:val="6FD45AAC"/>
    <w:rsid w:val="6FEB3981"/>
    <w:rsid w:val="701C1299"/>
    <w:rsid w:val="70430629"/>
    <w:rsid w:val="704F07C5"/>
    <w:rsid w:val="705F31C3"/>
    <w:rsid w:val="70720FEF"/>
    <w:rsid w:val="7089193D"/>
    <w:rsid w:val="70F929E6"/>
    <w:rsid w:val="71133BBD"/>
    <w:rsid w:val="7136634B"/>
    <w:rsid w:val="715713C6"/>
    <w:rsid w:val="71C974EE"/>
    <w:rsid w:val="72184B9B"/>
    <w:rsid w:val="72C10983"/>
    <w:rsid w:val="72E9135B"/>
    <w:rsid w:val="73212075"/>
    <w:rsid w:val="735D76AD"/>
    <w:rsid w:val="738F6DD7"/>
    <w:rsid w:val="73C216B0"/>
    <w:rsid w:val="74A1014B"/>
    <w:rsid w:val="75417CD9"/>
    <w:rsid w:val="75501550"/>
    <w:rsid w:val="75583B21"/>
    <w:rsid w:val="758D07C3"/>
    <w:rsid w:val="758E378F"/>
    <w:rsid w:val="75D45775"/>
    <w:rsid w:val="76660DD8"/>
    <w:rsid w:val="76962223"/>
    <w:rsid w:val="76DD3354"/>
    <w:rsid w:val="76E63F0C"/>
    <w:rsid w:val="771E59D1"/>
    <w:rsid w:val="77961C68"/>
    <w:rsid w:val="77E56F67"/>
    <w:rsid w:val="77FA210E"/>
    <w:rsid w:val="78582108"/>
    <w:rsid w:val="78BA383B"/>
    <w:rsid w:val="79D70262"/>
    <w:rsid w:val="79F9786D"/>
    <w:rsid w:val="7AD573DF"/>
    <w:rsid w:val="7B281E8B"/>
    <w:rsid w:val="7B40358E"/>
    <w:rsid w:val="7B86021D"/>
    <w:rsid w:val="7BFC3A0D"/>
    <w:rsid w:val="7C7878C6"/>
    <w:rsid w:val="7CBE6683"/>
    <w:rsid w:val="7CCE0D76"/>
    <w:rsid w:val="7D506C2D"/>
    <w:rsid w:val="7DE53A6F"/>
    <w:rsid w:val="7DF61051"/>
    <w:rsid w:val="7E012763"/>
    <w:rsid w:val="7E24149A"/>
    <w:rsid w:val="7E7A41C3"/>
    <w:rsid w:val="7E80302B"/>
    <w:rsid w:val="7E932A02"/>
    <w:rsid w:val="7EE63D01"/>
    <w:rsid w:val="7EF23446"/>
    <w:rsid w:val="7EF7E11E"/>
    <w:rsid w:val="7F177763"/>
    <w:rsid w:val="7F73C821"/>
    <w:rsid w:val="7F7E3B97"/>
    <w:rsid w:val="7F9D13B2"/>
    <w:rsid w:val="7FFF24F1"/>
    <w:rsid w:val="A5EFF539"/>
    <w:rsid w:val="BFA74EAE"/>
    <w:rsid w:val="CEEC8D87"/>
    <w:rsid w:val="CF8F5875"/>
    <w:rsid w:val="DFEF7445"/>
    <w:rsid w:val="F659EC65"/>
    <w:rsid w:val="F6FF99E2"/>
    <w:rsid w:val="F7FF4B6B"/>
    <w:rsid w:val="FBA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2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customStyle="1" w:styleId="11">
    <w:name w:val="content1"/>
    <w:basedOn w:val="9"/>
    <w:qFormat/>
    <w:uiPriority w:val="0"/>
    <w:rPr>
      <w:sz w:val="18"/>
      <w:szCs w:val="18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2303</Words>
  <Characters>2581</Characters>
  <Lines>0</Lines>
  <Paragraphs>0</Paragraphs>
  <TotalTime>38</TotalTime>
  <ScaleCrop>false</ScaleCrop>
  <LinksUpToDate>false</LinksUpToDate>
  <CharactersWithSpaces>2732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2021-01-07T18:40:00Z</dcterms:created>
  <dc:creator>summer</dc:creator>
  <cp:lastModifiedBy>杨再芬</cp:lastModifiedBy>
  <cp:lastPrinted>2021-09-26T23:26:00Z</cp:lastPrinted>
  <dcterms:modified xsi:type="dcterms:W3CDTF">2022-07-26T09:34:24Z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5FF695A3CE0F46C881D4EB22DB817BDD</vt:lpwstr>
  </property>
</Properties>
</file>